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57.png" ContentType="image/png"/>
  <Override PartName="/word/media/rId62.png" ContentType="image/png"/>
  <Override PartName="/word/media/rId69.png" ContentType="image/png"/>
  <Override PartName="/word/media/rId73.png" ContentType="image/png"/>
  <Override PartName="/word/media/rId76.png" ContentType="image/png"/>
  <Override PartName="/word/media/rId24.png" ContentType="image/png"/>
  <Override PartName="/word/media/rId32.png" ContentType="image/png"/>
  <Override PartName="/word/media/rId39.png" ContentType="image/png"/>
  <Override PartName="/word/media/rId43.png" ContentType="image/png"/>
  <Override PartName="/word/media/rId47.png" ContentType="image/png"/>
  <Override PartName="/word/media/rId50.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A1_Process.Rmd</w:t>
      </w:r>
      <w:r>
        <w:t xml:space="preserve"> </w:t>
      </w:r>
      <w:r>
        <w:t xml:space="preserve">/</w:t>
      </w:r>
      <w:r>
        <w:t xml:space="preserve"> </w:t>
      </w:r>
      <w:r>
        <w:t xml:space="preserve">Heat-Related</w:t>
      </w:r>
      <w:r>
        <w:t xml:space="preserve"> </w:t>
      </w:r>
      <w:r>
        <w:t xml:space="preserve">Mortality</w:t>
      </w:r>
      <w:r>
        <w:t xml:space="preserve"> </w:t>
      </w:r>
      <w:r>
        <w:t xml:space="preserve">/</w:t>
      </w:r>
      <w:r>
        <w:t xml:space="preserve"> </w:t>
      </w:r>
      <w:r>
        <w:t xml:space="preserve">Exposure</w:t>
      </w:r>
      <w:r>
        <w:t xml:space="preserve"> </w:t>
      </w:r>
      <w:r>
        <w:t xml:space="preserve">Response</w:t>
      </w:r>
    </w:p>
    <w:p>
      <w:pPr>
        <w:pStyle w:val="Author"/>
      </w:pPr>
      <w:r>
        <w:t xml:space="preserve">Hans-Aloys</w:t>
      </w:r>
      <w:r>
        <w:t xml:space="preserve"> </w:t>
      </w:r>
      <w:r>
        <w:t xml:space="preserve">Wischmann</w:t>
      </w:r>
    </w:p>
    <w:p>
      <w:pPr>
        <w:pStyle w:val="Date"/>
      </w:pPr>
      <w:r>
        <w:t xml:space="preserve">Written:</w:t>
      </w:r>
      <w:r>
        <w:t xml:space="preserve"> </w:t>
      </w:r>
      <w:r>
        <w:t xml:space="preserve">2023-04-12</w:t>
      </w:r>
      <w:r>
        <w:t xml:space="preserve"> </w:t>
      </w:r>
      <w:r>
        <w:t xml:space="preserve">to</w:t>
      </w:r>
      <w:r>
        <w:t xml:space="preserve"> </w:t>
      </w:r>
      <w:r>
        <w:t xml:space="preserve">2023-08-31</w:t>
      </w:r>
      <w:r>
        <w:t xml:space="preserve"> </w:t>
      </w:r>
      <w:r>
        <w:t xml:space="preserve">/</w:t>
      </w:r>
      <w:r>
        <w:t xml:space="preserve"> </w:t>
      </w:r>
      <w:r>
        <w:t xml:space="preserve">Totally</w:t>
      </w:r>
      <w:r>
        <w:t xml:space="preserve"> </w:t>
      </w:r>
      <w:r>
        <w:t xml:space="preserve">revised:</w:t>
      </w:r>
      <w:r>
        <w:t xml:space="preserve"> </w:t>
      </w:r>
      <w:r>
        <w:t xml:space="preserve">2024-11-07</w:t>
      </w:r>
      <w:r>
        <w:t xml:space="preserve"> </w:t>
      </w:r>
      <w:r>
        <w:t xml:space="preserve">to</w:t>
      </w:r>
      <w:r>
        <w:t xml:space="preserve"> </w:t>
      </w:r>
      <w:r>
        <w:t xml:space="preserve">2024-12-24</w:t>
      </w:r>
      <w:r>
        <w:t xml:space="preserve"> </w:t>
      </w:r>
      <w:r>
        <w:t xml:space="preserve">/</w:t>
      </w:r>
      <w:r>
        <w:t xml:space="preserve"> </w:t>
      </w:r>
      <w:r>
        <w:t xml:space="preserve">Executed:</w:t>
      </w:r>
      <w:r>
        <w:t xml:space="preserve"> </w:t>
      </w:r>
      <w:r>
        <w:t xml:space="preserve">2024-12-24</w:t>
      </w:r>
    </w:p>
    <w:bookmarkStart w:id="20" w:name="X3251a6dd016e845e54c064629779bb0e060bfbf"/>
    <w:p>
      <w:pPr>
        <w:pStyle w:val="Heading2"/>
      </w:pPr>
      <w:r>
        <w:t xml:space="preserve">Prerequisites and Expected Execution Time</w:t>
      </w:r>
    </w:p>
    <w:p>
      <w:pPr>
        <w:pStyle w:val="FirstParagraph"/>
      </w:pPr>
      <w:r>
        <w:t xml:space="preserve">Prerequisites: A0_Download.sh successfully completed</w:t>
      </w:r>
    </w:p>
    <w:p>
      <w:pPr>
        <w:pStyle w:val="BodyText"/>
      </w:pPr>
      <w:r>
        <w:t xml:space="preserve">Expected execution time: Less than 20 minutes (@ 12 physical cores, 24 logical cores, 32 GB RAM)</w:t>
      </w:r>
    </w:p>
    <w:bookmarkEnd w:id="20"/>
    <w:bookmarkStart w:id="21" w:name="geography"/>
    <w:p>
      <w:pPr>
        <w:pStyle w:val="Heading2"/>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3673"/>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Northern Ireland</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w:t>
            </w:r>
          </w:p>
        </w:tc>
      </w:tr>
    </w:tbl>
    <w:bookmarkEnd w:id="21"/>
    <w:bookmarkStart w:id="22" w:name="populations-eurostat"/>
    <w:p>
      <w:pPr>
        <w:pStyle w:val="Heading2"/>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71,911</w:t>
            </w:r>
          </w:p>
        </w:tc>
      </w:tr>
    </w:tbl>
    <w:bookmarkEnd w:id="22"/>
    <w:bookmarkStart w:id="23" w:name="populations-ons"/>
    <w:p>
      <w:pPr>
        <w:pStyle w:val="Heading2"/>
      </w:pPr>
      <w:r>
        <w:t xml:space="preserve">Populations: ONS</w:t>
      </w:r>
    </w:p>
    <w:p>
      <w:pPr>
        <w:pStyle w:val="FirstParagraph"/>
      </w:pPr>
      <w:r>
        <w:t xml:space="preserve">ONS Crown Copyright Reserved [from Nomis on 25 June 2024]</w:t>
      </w:r>
    </w:p>
    <w:bookmarkEnd w:id="23"/>
    <w:bookmarkStart w:id="27" w:name="populations-aggregate-save-and-visualize"/>
    <w:p>
      <w:pPr>
        <w:pStyle w:val="Heading2"/>
      </w:pPr>
      <w:r>
        <w:t xml:space="preserve">Populations: Aggregate, Save, and Visualize</w:t>
      </w:r>
    </w:p>
    <w:p>
      <w:pPr>
        <w:pStyle w:val="SourceCode"/>
      </w:pPr>
      <w:r>
        <w:rPr>
          <w:rStyle w:val="VerbatimChar"/>
        </w:rPr>
        <w:t xml:space="preserve">## [1] "Populations.Rdata (is.na = 0)"</w:t>
      </w:r>
    </w:p>
    <w:p>
      <w:pPr>
        <w:pStyle w:val="FirstParagraph"/>
      </w:pPr>
      <w:r>
        <w:drawing>
          <wp:inline>
            <wp:extent cx="5334000" cy="5334000"/>
            <wp:effectExtent b="0" l="0" r="0" t="0"/>
            <wp:docPr descr="" title="" id="25" name="Picture"/>
            <a:graphic>
              <a:graphicData uri="http://schemas.openxmlformats.org/drawingml/2006/picture">
                <pic:pic>
                  <pic:nvPicPr>
                    <pic:cNvPr descr="../Plots/Figure_S1.png" id="26"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"2022: Population Data © European Union, 1995-2024 and ONS, 2024"</w:t>
      </w:r>
    </w:p>
    <w:bookmarkEnd w:id="27"/>
    <w:bookmarkStart w:id="28" w:name="deaths-eurostat"/>
    <w:p>
      <w:pPr>
        <w:pStyle w:val="Heading1"/>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8"/>
    <w:bookmarkStart w:id="82" w:name="deaths-destatis"/>
    <w:p>
      <w:pPr>
        <w:pStyle w:val="Heading1"/>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Start w:id="29" w:name="deaths-ons-commissioned"/>
    <w:p>
      <w:pPr>
        <w:pStyle w:val="Heading2"/>
      </w:pPr>
      <w:r>
        <w:t xml:space="preserve">Deaths (ONS, Commissioned)</w:t>
      </w:r>
    </w:p>
    <w:bookmarkEnd w:id="29"/>
    <w:bookmarkStart w:id="30" w:name="deaths-insee"/>
    <w:p>
      <w:pPr>
        <w:pStyle w:val="Heading2"/>
      </w:pPr>
      <w:r>
        <w:t xml:space="preserve">Deaths (INSEE)</w:t>
      </w:r>
    </w:p>
    <w:bookmarkEnd w:id="30"/>
    <w:bookmarkStart w:id="31" w:name="deaths-aggregate-and-save"/>
    <w:p>
      <w:pPr>
        <w:pStyle w:val="Heading2"/>
      </w:pPr>
      <w:r>
        <w:t xml:space="preserve">Deaths: Aggregate and Save</w:t>
      </w:r>
    </w:p>
    <w:p>
      <w:pPr>
        <w:pStyle w:val="SourceCode"/>
      </w:pPr>
      <w:r>
        <w:rPr>
          <w:rStyle w:val="VerbatimChar"/>
        </w:rPr>
        <w:t xml:space="preserve">## [1] "Deaths.Rdata (is.na = 0)"</w:t>
      </w:r>
    </w:p>
    <w:bookmarkEnd w:id="31"/>
    <w:bookmarkStart w:id="35" w:name="X4ccaaa555f239c8fe167639e6627ba1ff9067cb"/>
    <w:p>
      <w:pPr>
        <w:pStyle w:val="Heading2"/>
      </w:pPr>
      <w:r>
        <w:t xml:space="preserve">Populations: 1km x 1km grid, accumulate onto 0.1 x 0.1 degree grid (inside regions)</w:t>
      </w:r>
    </w:p>
    <w:p>
      <w:pPr>
        <w:pStyle w:val="FirstParagraph"/>
      </w:pPr>
      <w:r>
        <w:t xml:space="preserve">© Eurostat, 1995 - today</w:t>
      </w:r>
    </w:p>
    <w:p>
      <w:pPr>
        <w:pStyle w:val="BodyText"/>
      </w:pPr>
      <w:r>
        <w:drawing>
          <wp:inline>
            <wp:extent cx="5334000" cy="6400800"/>
            <wp:effectExtent b="0" l="0" r="0" t="0"/>
            <wp:docPr descr="" title="" id="33" name="Picture"/>
            <a:graphic>
              <a:graphicData uri="http://schemas.openxmlformats.org/drawingml/2006/picture">
                <pic:pic>
                  <pic:nvPicPr>
                    <pic:cNvPr descr="../Plots/Figure_S2.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"2018 Population (0.1 ° x 0.1 ° Grid)"</w:t>
      </w:r>
    </w:p>
    <w:bookmarkEnd w:id="35"/>
    <w:bookmarkStart w:id="42" w:name="daily-mean-temperatures"/>
    <w:p>
      <w:pPr>
        <w:pStyle w:val="Heading2"/>
      </w:pPr>
      <w:r>
        <w:t xml:space="preserve">Daily Mean Temperatures</w:t>
      </w:r>
    </w:p>
    <w:p>
      <w:pPr>
        <w:pStyle w:val="FirstParagraph"/>
      </w:pPr>
      <w:r>
        <w:t xml:space="preserve">Acknowledgment: We acknowledge the E-OBS dataset from the EU-FP6 project UERRA (</w:t>
      </w:r>
      <w:hyperlink r:id="rId36">
        <w:r>
          <w:rPr>
            <w:rStyle w:val="Hyperlink"/>
          </w:rPr>
          <w:t xml:space="preserve">https://www.uerra.eu</w:t>
        </w:r>
      </w:hyperlink>
      <w:r>
        <w:t xml:space="preserve">) and the Copernicus Climate Change Service, and the data providers in the ECA&amp;D project (</w:t>
      </w:r>
      <w:hyperlink r:id="rId37">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38">
        <w:r>
          <w:rPr>
            <w:rStyle w:val="Hyperlink"/>
          </w:rPr>
          <w:t xml:space="preserve">doi:10.1029/2017JD028200</w:t>
        </w:r>
      </w:hyperlink>
    </w:p>
    <w:p>
      <w:pPr>
        <w:pStyle w:val="SourceCode"/>
      </w:pPr>
      <w:r>
        <w:rPr>
          <w:rStyle w:val="VerbatimChar"/>
        </w:rPr>
        <w:t xml:space="preserve">## [1] "Temperatures.Rdata (is.na = 0)"</w:t>
      </w:r>
    </w:p>
    <w:p>
      <w:pPr>
        <w:pStyle w:val="FirstParagraph"/>
      </w:pPr>
      <w:r>
        <w:drawing>
          <wp:inline>
            <wp:extent cx="5334000" cy="2667000"/>
            <wp:effectExtent b="0" l="0" r="0" t="0"/>
            <wp:docPr descr="" title="" id="40" name="Picture"/>
            <a:graphic>
              <a:graphicData uri="http://schemas.openxmlformats.org/drawingml/2006/picture">
                <pic:pic>
                  <pic:nvPicPr>
                    <pic:cNvPr descr="../Plots/Figure_S3.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"Hot Stretches by Region (2000-01-01 to 2024-06-30)"</w:t>
      </w:r>
    </w:p>
    <w:bookmarkEnd w:id="42"/>
    <w:bookmarkStart w:id="46" w:name="temperature-plots"/>
    <w:p>
      <w:pPr>
        <w:pStyle w:val="Heading2"/>
      </w:pPr>
      <w:r>
        <w:t xml:space="preserve">Temperature Plots</w:t>
      </w:r>
    </w:p>
    <w:p>
      <w:pPr>
        <w:pStyle w:val="FirstParagraph"/>
      </w:pPr>
      <w:r>
        <w:drawing>
          <wp:inline>
            <wp:extent cx="5334000" cy="2667000"/>
            <wp:effectExtent b="0" l="0" r="0" t="0"/>
            <wp:docPr descr="" title="" id="44" name="Picture"/>
            <a:graphic>
              <a:graphicData uri="http://schemas.openxmlformats.org/drawingml/2006/picture">
                <pic:pic>
                  <pic:nvPicPr>
                    <pic:cNvPr descr="../Plots/Figure_S4.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"Average Temperatures"</w:t>
      </w:r>
    </w:p>
    <w:bookmarkEnd w:id="46"/>
    <w:bookmarkStart w:id="53" w:name="Xde6523f46dd614eac24622d75050550a2a61652"/>
    <w:p>
      <w:pPr>
        <w:pStyle w:val="Heading2"/>
      </w:pPr>
      <w:r>
        <w:t xml:space="preserve">Outcome Plots: Deaths (Absolute, Standardized)</w:t>
      </w:r>
    </w:p>
    <w:p>
      <w:pPr>
        <w:pStyle w:val="FirstParagraph"/>
      </w:pPr>
      <w:r>
        <w:drawing>
          <wp:inline>
            <wp:extent cx="5334000" cy="6400800"/>
            <wp:effectExtent b="0" l="0" r="0" t="0"/>
            <wp:docPr descr="" title="" id="48" name="Picture"/>
            <a:graphic>
              <a:graphicData uri="http://schemas.openxmlformats.org/drawingml/2006/picture">
                <pic:pic>
                  <pic:nvPicPr>
                    <pic:cNvPr descr="../Plots/Figure_S5.png" id="49" name="Picture"/>
                    <pic:cNvPicPr>
                      <a:picLocks noChangeArrowheads="1" noChangeAspect="1"/>
                    </pic:cNvPicPr>
                  </pic:nvPicPr>
                  <pic:blipFill>
                    <a:blip r:embed="rId47"/>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(Observed)"</w:t>
      </w:r>
    </w:p>
    <w:p>
      <w:pPr>
        <w:pStyle w:val="FirstParagraph"/>
      </w:pPr>
      <w:r>
        <w:drawing>
          <wp:inline>
            <wp:extent cx="5334000" cy="6400800"/>
            <wp:effectExtent b="0" l="0" r="0" t="0"/>
            <wp:docPr descr="" title="" id="51" name="Picture"/>
            <a:graphic>
              <a:graphicData uri="http://schemas.openxmlformats.org/drawingml/2006/picture">
                <pic:pic>
                  <pic:nvPicPr>
                    <pic:cNvPr descr="../Plots/Figure_S6.png" id="52"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(EU27 Standard Population)"</w:t>
      </w:r>
    </w:p>
    <w:bookmarkEnd w:id="53"/>
    <w:bookmarkStart w:id="60" w:name="exposure-response-raw"/>
    <w:p>
      <w:pPr>
        <w:pStyle w:val="Heading2"/>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BodyText"/>
      </w:pPr>
      <w:r>
        <w:drawing>
          <wp:inline>
            <wp:extent cx="5334000" cy="5334000"/>
            <wp:effectExtent b="0" l="0" r="0" t="0"/>
            <wp:docPr descr="" title="" id="55" name="Picture"/>
            <a:graphic>
              <a:graphicData uri="http://schemas.openxmlformats.org/drawingml/2006/picture">
                <pic:pic>
                  <pic:nvPicPr>
                    <pic:cNvPr descr="../Plots/Figure_1.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(Summer), Incremental Deaths"</w:t>
      </w:r>
    </w:p>
    <w:p>
      <w:pPr>
        <w:pStyle w:val="FirstParagraph"/>
      </w:pPr>
      <w:r>
        <w:drawing>
          <wp:inline>
            <wp:extent cx="5334000" cy="5334000"/>
            <wp:effectExtent b="0" l="0" r="0" t="0"/>
            <wp:docPr descr="" title="" id="58" name="Picture"/>
            <a:graphic>
              <a:graphicData uri="http://schemas.openxmlformats.org/drawingml/2006/picture">
                <pic:pic>
                  <pic:nvPicPr>
                    <pic:cNvPr descr="../Plots/Figure_2.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(Summer), Incremental Deaths, 74-84 and 85+ Years"</w:t>
      </w:r>
    </w:p>
    <w:bookmarkEnd w:id="60"/>
    <w:bookmarkStart w:id="61" w:name="combine-required-data"/>
    <w:p>
      <w:pPr>
        <w:pStyle w:val="Heading2"/>
      </w:pPr>
      <w:r>
        <w:t xml:space="preserve">Combine Required Data</w:t>
      </w:r>
    </w:p>
    <w:p>
      <w:pPr>
        <w:pStyle w:val="FirstParagraph"/>
      </w:pPr>
      <w:r>
        <w:t xml:space="preserve">Combine deaths and populations, append (lagged) temperature exposures, filter on summer weeks.</w:t>
      </w:r>
    </w:p>
    <w:p>
      <w:pPr>
        <w:pStyle w:val="BodyText"/>
      </w:pPr>
      <w:r>
        <w:t xml:space="preserve">Combine England and Wales into England.Wales for the main analysis.</w:t>
      </w:r>
    </w:p>
    <w:p>
      <w:pPr>
        <w:pStyle w:val="SourceCode"/>
      </w:pPr>
      <w:r>
        <w:rPr>
          <w:rStyle w:val="VerbatimChar"/>
        </w:rPr>
        <w:t xml:space="preserve">##           used  (Mb) gc trigger    (Mb)   max used    (Mb)</w:t>
      </w:r>
      <w:r>
        <w:br/>
      </w:r>
      <w:r>
        <w:rPr>
          <w:rStyle w:val="VerbatimChar"/>
        </w:rPr>
        <w:t xml:space="preserve">## Ncells 2786075 148.8   22177448  1184.5   34652262  1850.7</w:t>
      </w:r>
      <w:r>
        <w:br/>
      </w:r>
      <w:r>
        <w:rPr>
          <w:rStyle w:val="VerbatimChar"/>
        </w:rPr>
        <w:t xml:space="preserve">## Vcells 7017458  53.6 2889918547 22048.4 3612124473 27558.4</w:t>
      </w:r>
    </w:p>
    <w:bookmarkEnd w:id="61"/>
    <w:bookmarkStart w:id="68" w:name="X0c732fafd919115dc0da6b13e1f4a8149ab1e12"/>
    <w:p>
      <w:pPr>
        <w:pStyle w:val="Heading2"/>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mortaliy risk is determined for each model, aggregated across all available years, and subtracted from the actual, observed temperatures, by region(geo), by age, by sex. Many individual models do not show a minimum (t_min), so that the computed estimates for the minima would be less robust and can thus not serve instead as the temperature reference. As the data frame for each model contains only 26 data points (LAST_SUMMER_WEEK - FIRST_SUMMER_WEEK + 1), the seasonal terms are modeled using a smooth function with only 5 DoF. 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1320"/>
        <w:gridCol w:w="1870"/>
        <w:gridCol w:w="1320"/>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12,350</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14,144</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13,286</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14,274</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20,280</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18,148</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23,946</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19,422</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501,680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501,680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135,850</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58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 [1.10, 1.27]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[1.07, 1.25]</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[0.82, 0.90]</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[0.68, 0.75]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 [0.50, 0.68]</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[0.46, 0.52]</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 [0.29, 0.45]</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[0.24, 0.42]</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 [-0.11, 0.45]</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[-0.18, -0.10]</w:t>
            </w:r>
          </w:p>
        </w:tc>
      </w:tr>
    </w:tbl>
    <w:p>
      <w:pPr>
        <w:pStyle w:val="SourceCode"/>
      </w:pPr>
      <w:r>
        <w:rPr>
          <w:rStyle w:val="VerbatimChar"/>
        </w:rPr>
        <w:t xml:space="preserve">## Warning: There was 1 warning in `mutate()`.</w:t>
      </w:r>
      <w:r>
        <w:br/>
      </w:r>
      <w:r>
        <w:rPr>
          <w:rStyle w:val="VerbatimChar"/>
        </w:rPr>
        <w:t xml:space="preserve">## ℹ In argument: `t_min = predict(lm_min, newdata = .)`.</w:t>
      </w:r>
      <w:r>
        <w:br/>
      </w:r>
      <w:r>
        <w:rPr>
          <w:rStyle w:val="VerbatimChar"/>
        </w:rPr>
        <w:t xml:space="preserve">## Caused by warning in `predict.lm()`:</w:t>
      </w:r>
      <w:r>
        <w:br/>
      </w:r>
      <w:r>
        <w:rPr>
          <w:rStyle w:val="VerbatimChar"/>
        </w:rPr>
        <w:t xml:space="preserve">## ! prediction from rank-deficient fit; attr(*, "non-estim") has doubtful cases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Country, Sex, and Age Group (Median across Regions,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Region, Sex, and Age Group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74"/>
        <w:gridCol w:w="1111"/>
        <w:gridCol w:w="1174"/>
        <w:gridCol w:w="1251"/>
        <w:gridCol w:w="1314"/>
        <w:gridCol w:w="1251"/>
        <w:gridCol w:w="1314"/>
        <w:gridCol w:w="1251"/>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bl>
    <w:p>
      <w:pPr>
        <w:pStyle w:val="FirstParagraph"/>
      </w:pPr>
      <w:r>
        <w:drawing>
          <wp:inline>
            <wp:extent cx="5334000" cy="2667000"/>
            <wp:effectExtent b="0" l="0" r="0" t="0"/>
            <wp:docPr descr="" title="" id="63" name="Picture"/>
            <a:graphic>
              <a:graphicData uri="http://schemas.openxmlformats.org/drawingml/2006/picture">
                <pic:pic>
                  <pic:nvPicPr>
                    <pic:cNvPr descr="../Plots/Figure_3.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"Onset of Heat-Related Risk, Regression Fit across Years"</w:t>
      </w:r>
    </w:p>
    <w:p>
      <w:pPr>
        <w:pStyle w:val="FirstParagraph"/>
      </w:pPr>
      <w:r>
        <w:drawing>
          <wp:inline>
            <wp:extent cx="5334000" cy="2667000"/>
            <wp:effectExtent b="0" l="0" r="0" t="0"/>
            <wp:docPr descr="" title="" id="66" name="Picture"/>
            <a:graphic>
              <a:graphicData uri="http://schemas.openxmlformats.org/drawingml/2006/picture">
                <pic:pic>
                  <pic:nvPicPr>
                    <pic:cNvPr descr="../Plots/Figure_S7.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"Minima of Heat-Related Risk, Regression Fit across Years"</w:t>
      </w:r>
    </w:p>
    <w:bookmarkEnd w:id="68"/>
    <w:bookmarkStart w:id="72" w:name="X436e8b2218e2211743b54e131171df42042698f"/>
    <w:p>
      <w:pPr>
        <w:pStyle w:val="Heading2"/>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 Data from two COVID years (2020 and 2022) are excluded to avoid potential confounding by pandemic mortality effects during summer.</w:t>
      </w:r>
    </w:p>
    <w:p>
      <w:pPr>
        <w:pStyle w:val="BodyText"/>
      </w:pPr>
      <w:r>
        <w:drawing>
          <wp:inline>
            <wp:extent cx="5334000" cy="2667000"/>
            <wp:effectExtent b="0" l="0" r="0" t="0"/>
            <wp:docPr descr="" title="" id="70" name="Picture"/>
            <a:graphic>
              <a:graphicData uri="http://schemas.openxmlformats.org/drawingml/2006/picture">
                <pic:pic>
                  <pic:nvPicPr>
                    <pic:cNvPr descr="../Plots/Figure_4.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"Heat-Related Response, Common model, by Sex by 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2262"/>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Power</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 [1.79, 1.81]</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 [1.76, 1.77]</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3.58 [3.51, 3.65]</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 [2.05, 2.07]</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4.63 [4.58, 4.68]</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3.55 [3.46, 3.63]</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3.93 [3.86, 4.00]</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 [1.79, 1.81]</w:t>
            </w:r>
          </w:p>
        </w:tc>
      </w:tr>
    </w:tbl>
    <w:bookmarkEnd w:id="72"/>
    <w:bookmarkStart w:id="79" w:name="Xc28c120493124f71b536ca2c1e4465319b7e213"/>
    <w:p>
      <w:pPr>
        <w:pStyle w:val="Heading2"/>
      </w:pPr>
      <w:r>
        <w:t xml:space="preserve">Pass 3 - Load Factors and Trends, GAM followed by LM</w:t>
      </w:r>
    </w:p>
    <w:p>
      <w:pPr>
        <w:pStyle w:val="FirstParagraph"/>
      </w:pPr>
      <w:r>
        <w:t xml:space="preserve">The common GAMs from pass 2 are re-computed for the weekly death rates (assuming a gaussian error distribution) as a function of the mean temperature across the prior 0..3 days, separately by age groups and by sex, but across regions and years, only for temperatures relative to the regional reference (onset of heat-related risks, by region, by age, by sex). Using the common response (by age, by sex) across all countries, regions, and years, the corresponding load factors and their annual trends are computed for each country.</w:t>
      </w:r>
    </w:p>
    <w:p>
      <w:pPr>
        <w:pStyle w:val="BodyText"/>
      </w:pPr>
      <w:r>
        <w:t xml:space="preserve">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 != 1) and Trend (* != 0)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050"/>
        <w:gridCol w:w="816"/>
        <w:gridCol w:w="2812"/>
        <w:gridCol w:w="297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Scale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(-0.16 to 1.97)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(-0.16 to 0.09) </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 (0.43 to 1.58)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(-0.13 to -0.01)  *</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(0.09 to 1.26)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(-0.21 to -0.07)  *</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 (0.65 to 1.71)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(-0.09 to 0.04) </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0.96 (0.65 to 1.28)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(-0.12 to -0.05)  *</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 (0.75 to 1.56)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(-0.12 to -0.01)  *</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 (0.64 to 1.04)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-0.05)  *</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 (0.83 to 1.60)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(-0.11 to -0.01)  *</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 (0.47 to 2.34)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(-0.13 to 0.05) </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 (0.91 to 2.08)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0.07) </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 (0.33 to 1.94)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(-0.14 to 0.01) </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1.30 (0.77 to 1.84)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(-0.07 to 0.03) </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(0.53 to 1.00)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(-0.07 to -0.03)  *</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(0.79 to 1.55)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(-0.07 to 0.01) </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 (0.82 to 1.12)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(-0.06 to -0.02)  *</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1.38 (1.06 to 1.70)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0.04) </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 (-0.29 to 0.85)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(-0.10 to -0.00)  *</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(0.05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(-0.10 to -0.02)  *</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 (1.07 to 2.42)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(-0.05 to 0.05) </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 (1.36 to 2.90)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(-0.03 to 0.10) </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 (1.36 to 2.34)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-0.01)  *</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3.21 (2.56 to 3.86)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(0.05 to 0.16)  *</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 (1.08 to 1.54)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0.01) </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 (1.41 to 2.53)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(-0.00 to 0.10) </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(0.45 to 1.04)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(-0.08 to -0.03)  *</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 (0.95 to 1.30)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(-0.07 to -0.04)  *</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(0.46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-0.07)  *</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 (0.75 to 1.14)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(-0.09 to -0.06)  *</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 (0.32 to 0.51)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(-0.09 to -0.08)  *</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 (0.57 to 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(-0.09 to -0.07)  *</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0.57 (0.50 to 0.63)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(-0.12 to -0.11)  *</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(0.66 to 0.86)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(-0.11 to -0.09)  *</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0.88 (0.57 to 1.19)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(-0.08 to -0.02)  *</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(0.72 to 1.00)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0.79 (0.66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 (0.72 to 0.96)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-0.01)  *</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0.73 (0.67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(0.73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-0.02)  *</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 (0.61 to 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(0.78 to 0.93)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(-0.02 to -0.01)  *</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 (0.94 to 1.56)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0.07) </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 (0.76 to 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(0.03 to 0.10)  *</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 (0.90 to 1.27)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(-0.04 to 0.04) </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(0.51 to 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0.00) </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(0.84 to 0.99)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-0.01)  *</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 (0.96 to 1.16)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-0.01)  *</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 (1.37 to 1.48)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 (1.24 to 1.42)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0.00) </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(0.18 to 1.42)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 (-0.38 to 0.12) </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 (-0.20 to 0.99)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 (-0.52 to 0.00) </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(0.35 to 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(-0.28 to 0.17) </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 (0.04 to 0.70)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(-0.12 to 0.17) </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 (0.12 to 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(-0.20 to 0.18) </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(0.14 to 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(-0.20 to 0.18) </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(0.48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0.16) </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(0.52 to 1.11)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(-0.15 to 0.12) </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 (-0.54 to 2.43)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(-0.17 to 0.10) </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 (1.39 to 3.06)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(-0.04 to 0.11) </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 (0.56 to 2.00)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(-0.16 to -0.03)  *</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(-0.04 to 1.57)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(-0.23 to -0.08)  *</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 (0.82 to 1.47)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(-0.23 to -0.16)  *</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 (0.45 to 1.51)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(-0.24 to -0.14)  *</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 (0.92 to 1.31)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(-0.12 to -0.09)  *</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 (1.15 to 2.06)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(-0.14 to -0.04)  *</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 (0.20 to 1.02)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-0.00)  *</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1.10 (0.83 to 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(-0.01 to 0.04) </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 (0.20 to 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(-0.11 to -0.06)  *</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0.88 (0.63 to 1.12)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-0.00)  *</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(0.46 to 0.61)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(-0.07 to -0.05)  *</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 (0.52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(-0.05 to -0.03)  *</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 (0.64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(-0.06 to -0.05)  *</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 (0.58 to 0.73)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-0.02)  *</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(-0.70 to 1.36)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(-0.16 to 0.03) </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 (-0.12 to 1.39)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(-0.10 to 0.04) </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(-0.33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(-0.10 to 0.01) </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(0.28 to 1.15)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0.06) </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1.09 (0.51 to 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(-0.13 to -0.02)  *</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(0.50 to 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(-0.05 to 0.01) </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(0.50 to 0.92)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0.00) </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0.92 (0.49 to 1.34)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0.04) </w:t>
            </w:r>
          </w:p>
        </w:tc>
      </w:tr>
    </w:tbl>
    <w:p>
      <w:pPr>
        <w:pStyle w:val="BodyText"/>
      </w:pPr>
      <w:r>
        <w:drawing>
          <wp:inline>
            <wp:extent cx="5334000" cy="3733799"/>
            <wp:effectExtent b="0" l="0" r="0" t="0"/>
            <wp:docPr descr="" title="" id="74" name="Picture"/>
            <a:graphic>
              <a:graphicData uri="http://schemas.openxmlformats.org/drawingml/2006/picture">
                <pic:pic>
                  <pic:nvPicPr>
                    <pic:cNvPr descr="../Plots/Figure_5.png" id="75"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(2019): Scale x Common Age-Sex Response (across Countries and 2000-2023)"</w:t>
      </w:r>
    </w:p>
    <w:p>
      <w:pPr>
        <w:pStyle w:val="FirstParagraph"/>
      </w:pPr>
      <w:r>
        <w:drawing>
          <wp:inline>
            <wp:extent cx="5334000" cy="3733799"/>
            <wp:effectExtent b="0" l="0" r="0" t="0"/>
            <wp:docPr descr="" title="" id="77" name="Picture"/>
            <a:graphic>
              <a:graphicData uri="http://schemas.openxmlformats.org/drawingml/2006/picture">
                <pic:pic>
                  <pic:nvPicPr>
                    <pic:cNvPr descr="../Plots/Figure_6.png" id="78" name="Picture"/>
                    <pic:cNvPicPr>
                      <a:picLocks noChangeArrowheads="1" noChangeAspect="1"/>
                    </pic:cNvPicPr>
                  </pic:nvPicPr>
                  <pic:blipFill>
                    <a:blip r:embed="rId76"/>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Trend (2000-2023): Slope = Annual Change to Factor"</w:t>
      </w:r>
    </w:p>
    <w:bookmarkEnd w:id="79"/>
    <w:bookmarkStart w:id="80" w:name="Xf3ae6d3be7695ce650aff84ac1cc66743d72fcc"/>
    <w:p>
      <w:pPr>
        <w:pStyle w:val="Heading2"/>
      </w:pPr>
      <w:r>
        <w:t xml:space="preserve">Pass 4 - Heat-Related and Excess Mortality</w:t>
      </w:r>
    </w:p>
    <w:p>
      <w:pPr>
        <w:pStyle w:val="FirstParagraph"/>
      </w:pPr>
      <w:r>
        <w:t xml:space="preserve">Compute and juxtapose heat-related and excess mortality by country by year, summed over regions, sex, and age groups. Exploratory check only, for the appendix.</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627/636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315/355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784/787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1403/1472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2916/2944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953/982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2933/2993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174/187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314/303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583/592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1161/1187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3231/3248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4262/4314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922/935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4641/4681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487/474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2143/2179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4123/4160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305/303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2245/2257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269/319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598/648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733/766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3096/3127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19459/19448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11998/12061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3083/3073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10508/10581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705/808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354/369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1037/1054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1201/1261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2925/2970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725/761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3475/3636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35/18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268/310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619/682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1169/1171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2687/2789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4647/4691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855/853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2279/2367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318/276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517/569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1412/1470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2597/2620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3311/3394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10494/10553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2039/2031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5336/5425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352/335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649/669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278/318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1038/1097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3195/3276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603/594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1967/2011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68/49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378/404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289/294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1157/1236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3124/3171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393/368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3282/3357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296/290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599/637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1489/1548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3169/3224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878/898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3390/3428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59/74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604/638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1585/1740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7090/7115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1919/1920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3556/3663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101/86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318/314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880/956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2342/2387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6018/6123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936/944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3718/3806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212/233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588/641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317/326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282/326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1052/1126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3796/3814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9817/9886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976/993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2797/2889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68/86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828/867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-414/-406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1772/1814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4186/4210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6688/6767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2492/2508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4238/4293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235/245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471/497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673/689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1446/1482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3841/3906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3064/3227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3112/3139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130/169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994/1049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670/722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3754/3806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8954/8974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14211/14268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397/362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751/774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6791/6836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785/858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704/785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1541/1556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2648/2753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6432/6491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5203/5282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1237/1271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4071/4118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191/183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606/648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392/429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802/821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2600/2721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3637/3684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11086/11134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1424/1407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4047/4128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162/195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730/800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1020/1080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2098/2126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3853/3975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12563/12667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7239/7342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524/578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1472/1472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4413/4473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384/432</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592/676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1414/1453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3466/3554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8947/9005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8660/8785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715/728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3517/3596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229/236</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278/233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3106/3130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2027/2103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2449/2514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10450/10587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1091/1060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7001/7057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157/197</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424/482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1108/1164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3541/3635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3710/3744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11296/11386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652/703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5030/5111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474/510</w:t>
            </w:r>
          </w:p>
        </w:tc>
      </w:tr>
    </w:tbl>
    <w:bookmarkEnd w:id="80"/>
    <w:bookmarkStart w:id="81" w:name="execution-time"/>
    <w:p>
      <w:pPr>
        <w:pStyle w:val="Heading2"/>
      </w:pPr>
      <w:r>
        <w:t xml:space="preserve">Execution Time</w:t>
      </w:r>
    </w:p>
    <w:p>
      <w:pPr>
        <w:pStyle w:val="SourceCode"/>
      </w:pPr>
      <w:r>
        <w:rPr>
          <w:rStyle w:val="VerbatimChar"/>
        </w:rPr>
        <w:t xml:space="preserve">## Time difference of 16.35529 mins</w:t>
      </w:r>
    </w:p>
    <w:bookmarkEnd w:id="81"/>
    <w:bookmarkEnd w:id="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hyperlink" Id="rId38" Target="doi:10.1029/2017JD028200" TargetMode="External" /><Relationship Type="http://schemas.openxmlformats.org/officeDocument/2006/relationships/hyperlink" Id="rId37" Target="https://www.ecad.eu" TargetMode="External" /><Relationship Type="http://schemas.openxmlformats.org/officeDocument/2006/relationships/hyperlink" Id="rId36" Target="https://www.uerra.eu" TargetMode="External" /></Relationships>
</file>

<file path=word/_rels/footnotes.xml.rels><?xml version="1.0" encoding="UTF-8"?><Relationships xmlns="http://schemas.openxmlformats.org/package/2006/relationships"><Relationship Type="http://schemas.openxmlformats.org/officeDocument/2006/relationships/hyperlink" Id="rId38" Target="doi:10.1029/2017JD028200" TargetMode="External" /><Relationship Type="http://schemas.openxmlformats.org/officeDocument/2006/relationships/hyperlink" Id="rId37" Target="https://www.ecad.eu" TargetMode="External" /><Relationship Type="http://schemas.openxmlformats.org/officeDocument/2006/relationships/hyperlink" Id="rId36" Target="https://www.uerra.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A1_Process.Rmd / Heat-Related Mortality / Exposure Response</dc:title>
  <dc:creator>Hans-Aloys Wischmann</dc:creator>
  <cp:keywords/>
  <dcterms:created xsi:type="dcterms:W3CDTF">2024-12-24T14:07:09Z</dcterms:created>
  <dcterms:modified xsi:type="dcterms:W3CDTF">2024-12-24T14:07:09Z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2024-12-24 / Executed: 2024-12-24</vt:lpwstr>
  </property>
  <property fmtid="{D5CDD505-2E9C-101B-9397-08002B2CF9AE}" pid="3" name="output">
    <vt:lpwstr>word_document</vt:lpwstr>
  </property>
</Properties>
</file>